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F72B">
      <w:pPr>
        <w:jc w:val="center"/>
        <w:rPr>
          <w:rFonts w:hint="default"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</w:rPr>
        <w:t>ОБЗОР</w:t>
      </w:r>
    </w:p>
    <w:p w14:paraId="17A00ED9">
      <w:pPr>
        <w:jc w:val="center"/>
        <w:rPr>
          <w:rFonts w:hint="default"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</w:rPr>
        <w:t>практики Конституционного Суда Российской Федерации</w:t>
      </w:r>
    </w:p>
    <w:p w14:paraId="3A083CE0">
      <w:pPr>
        <w:jc w:val="center"/>
        <w:rPr>
          <w:rFonts w:hint="default" w:ascii="Times New Roman" w:hAnsi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/>
          <w:b/>
          <w:bCs/>
          <w:sz w:val="24"/>
          <w:szCs w:val="24"/>
          <w:u w:val="single"/>
        </w:rPr>
        <w:t>за первый квартал 2025 года</w:t>
      </w:r>
    </w:p>
    <w:p w14:paraId="24AE0F7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Конституционные основы трудового законодательства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и социальной защиты</w:t>
      </w:r>
    </w:p>
    <w:p w14:paraId="4BD6D37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25BF9D0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от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февраля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2025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года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№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5-П</w:t>
      </w:r>
    </w:p>
    <w:p w14:paraId="77DC8B0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Конституционный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Суд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дал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оценку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конституционности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положений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частей 13 и 16 статьи 3 и части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2 статьи 5 Федерального закона от 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ноября 2011 года № 306-ФЗ «О денежном довольствии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военнослужащих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и предоставлении им отдельных выплат».</w:t>
      </w:r>
    </w:p>
    <w:p w14:paraId="64907B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Указанные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взаимосвязанные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положения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являлись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предметом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рассмотрения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той мере, в какой на их основании решается вопрос об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индексации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размера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ежемесячной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выплаты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возмещение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вреда,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причинённого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здоровью лица,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признанного инвалидом вследствие военной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травмы, которая производится в соответствии с нормами гражданского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законодательства во исполнение решения суда, вынесенного до вступления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силу данного Федерального закона.</w:t>
      </w:r>
    </w:p>
    <w:p w14:paraId="44E6BC7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Оспоренные законоположения были признаны не противоречащими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Конституции Российской Федерации в той мере, в какой по своему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конституционно-правовому смыслу в системе действующего правового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регулирования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они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не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могут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препятствовать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индексации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порядке,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установленном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статьями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318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1091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ГК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Российской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Федерации,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действующими в нормативной связи с положениями федерального закона 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федеральном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бюджете,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ежегодно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устанавливающими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коэффициент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индексации сумм в возмещение вреда, размера указанной ежемесячной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  <w:t>выплаты в возмещение вреда.</w:t>
      </w:r>
    </w:p>
    <w:p w14:paraId="612975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40926D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Постановлением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от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марта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года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№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10-П</w:t>
      </w:r>
    </w:p>
    <w:p w14:paraId="604BD3C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Конституционный Суд дал оценку конституционности положений части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третьей статьи 93 и части третьей статьи 133 Трудового кодекса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Российской Федерации.</w:t>
      </w:r>
    </w:p>
    <w:p w14:paraId="6729BE4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/>
          <w:iCs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Указанные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взаимосвязанные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положения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являлись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предметом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рассмотрения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 той мере, в какой на их основании решается вопрос о размере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оплаты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труда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педагогического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работника,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учебная нагрузка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которого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составляет менее установленной для данной категории работников нормы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часов учебной (преподавательской) работы (неполная учебная нагрузка), с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учётом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 необходимости соблюдения требований об обеспечении выплаты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работнику заработной платы не ниже предусмотренного федеральным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 xml:space="preserve">законом минимального размера оплаты труда и </w:t>
      </w:r>
      <w:r>
        <w:rPr>
          <w:rFonts w:hint="default" w:ascii="Times New Roman" w:hAnsi="Times New Roman" w:eastAsia="Helvetica"/>
          <w:b w:val="0"/>
          <w:bCs w:val="0"/>
          <w:i/>
          <w:iCs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пропорционально фактически</w:t>
      </w:r>
      <w:r>
        <w:rPr>
          <w:rFonts w:hint="default" w:ascii="Times New Roman" w:hAnsi="Times New Roman" w:eastAsia="Helvetica"/>
          <w:b w:val="0"/>
          <w:bCs w:val="0"/>
          <w:i/>
          <w:iCs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/>
          <w:iCs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отработанному им времени.</w:t>
      </w:r>
    </w:p>
    <w:p w14:paraId="24AC9B3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Оспоренные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взаимосвязанные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положения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признаны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не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противоречащими Конституции Российской Федерации, поскольку по своему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конституционно-правовому смыслу в системе действующего правового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регулирования они предполагают, что месячная заработная плата такого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педагогического работника не может быть ниже суммы, исчисленной исходя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из заработной платы за ту же работу при условии выполнения установленной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нормы часов учебной (преподавательской) работы (полного рабочего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времени) пропорционально отработанному этим работником времени. При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этом заработная плата за выполнение установленной нормы часов учебной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(преподавательской) работы, из которой исчисляется заработная плата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педагогического работника, работающего неполное рабочее время, во всяком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случае должна быть не менее предусмотренного федеральным законом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минимального размера оплаты труда с начислением сверх этого выплат за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работу в особых условиях или условиях, отклоняющихся от нормальных, а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оплаты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выполняемой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письменного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согласия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работника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дополнительной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работы,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не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входящей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его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основные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должностные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обязанности в соответствии с квалификационными характеристиками по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замещаемой им должности, и (или) учебной (преподавательской) работы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сверх установленной нормы часов.</w:t>
      </w:r>
    </w:p>
    <w:p w14:paraId="777654C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</w:p>
    <w:p w14:paraId="413AE10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Определением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от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января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года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№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6-О</w:t>
      </w:r>
    </w:p>
    <w:p w14:paraId="5FCA387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Конституционный Суд проанализировал статью 78 Трудового кодекса</w:t>
      </w:r>
    </w:p>
    <w:p w14:paraId="2AD35A3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Российской Федерации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«Расторжение трудового договора по соглашению сторон»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.</w:t>
      </w:r>
    </w:p>
    <w:p w14:paraId="28AADF1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</w:p>
    <w:p w14:paraId="3D53275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Согласно оспоренному законоположению трудовой договор может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быть в любое время расторгнут по соглашению сторон трудового договора.</w:t>
      </w:r>
    </w:p>
    <w:p w14:paraId="027803B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На основе ранее выраженных в Постановлении от 13 июля 2023 года №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40-П правовых позиций Конституционный Суд указал, что расторжение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трудового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договора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соглашению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сторон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предполагает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не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только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необходимость достижения работником и работодателем согласия по всем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условиям, составляющим содержание соглашения о расторжении трудового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договора и потому являющимся существенными для его сторон, но и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выполнение сторонами этих условий, включая предусмотренные данным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соглашением обязательства сторон. Недопустим отказ в выплате работнику,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уволенному по соглашению сторон, выходного пособия, выплата которого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при увольнении по данному основанию предусмотрена трудовым договором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и (или) соглашением о его расторжении, в размере, установленном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соответственно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трудовым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договором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и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(или)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соглашением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его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расторжении.</w:t>
      </w:r>
    </w:p>
    <w:p w14:paraId="145945A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Конституционный Суд отметил, что на практике возможны ситуации,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когда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условие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соглашения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расторжении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трудового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договора,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предусматривающее выплату работнику выходного пособия в определенном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сторонами размере, противоречит закону и потому может быть признано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судом незаконным.</w:t>
      </w:r>
    </w:p>
    <w:p w14:paraId="0E7A7F2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both"/>
        <w:textAlignment w:val="auto"/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Учитывая, что волеизъявление работника на расторжение трудового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договора по соглашению сторон нередко обусловлено именно выплатой ему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выходного пособия, а целью такого увольнения для работника, как правило,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является не столько прекращение трудовых отношений с работодателем,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сколько получение дополнительных денежных средств, без которых само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увольнение по соглашению сторон (пункт 1 части первой статьи 77, статья 78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Трудового кодекса Российской Федерации) не отвечает его интересам и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попросту утрачивает для него смысл, признание судом незаконным условия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соглашения о выплате работнику выходного пособия может поставить под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сомнение обоснованность увольнения по данному основанию. Однако в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подобных ситуациях при возникновении спора решение вопроса о признании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увольнения незаконным и восстановлении работника на работе должно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осуществляться в каждом конкретном случае судом исходя из фактических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 w:val="0"/>
          <w:bCs w:val="0"/>
          <w:i w:val="0"/>
          <w:iCs w:val="0"/>
          <w:caps w:val="0"/>
          <w:color w:val="34343C"/>
          <w:spacing w:val="0"/>
          <w:kern w:val="0"/>
          <w:sz w:val="24"/>
          <w:szCs w:val="24"/>
          <w:shd w:val="clear" w:fill="FFFFFF"/>
          <w:lang w:val="en-US" w:eastAsia="zh-CN"/>
        </w:rPr>
        <w:t>обстоятельств дела.</w:t>
      </w:r>
    </w:p>
    <w:p w14:paraId="15BB15A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single"/>
          <w:shd w:val="clear" w:fill="FFFFFF"/>
          <w:lang w:val="en-US" w:eastAsia="zh-CN"/>
        </w:rPr>
        <w:t>ОБЗОР</w:t>
      </w:r>
    </w:p>
    <w:p w14:paraId="025333F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single"/>
          <w:shd w:val="clear" w:fill="FFFFFF"/>
          <w:lang w:val="en-US" w:eastAsia="zh-CN"/>
        </w:rPr>
        <w:t>практики Конституционного Суда Российской Федерации</w:t>
      </w:r>
    </w:p>
    <w:p w14:paraId="116AAFB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single"/>
          <w:shd w:val="clear" w:fill="FFFFFF"/>
          <w:lang w:val="en-US" w:eastAsia="zh-CN"/>
        </w:rPr>
        <w:t>за второй квартал 2025 года</w:t>
      </w:r>
    </w:p>
    <w:p w14:paraId="2A3D81E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</w:pPr>
    </w:p>
    <w:p w14:paraId="0DA40C9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Определением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от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мая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2025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года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№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1224-О</w:t>
      </w:r>
    </w:p>
    <w:p w14:paraId="26A73DB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Конституционный Суд проанализировал положение абзаца седьмого</w:t>
      </w:r>
    </w:p>
    <w:p w14:paraId="76EC5D6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80" w:firstLineChars="200"/>
        <w:jc w:val="center"/>
        <w:textAlignment w:val="auto"/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части первой статьи 59 Трудового кодекса Российской Федерации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ru-RU" w:eastAsia="zh-CN"/>
        </w:rPr>
        <w:t xml:space="preserve"> «СРОЧНЫЙ ТРУДОВОЙ ДОГОВОР»</w:t>
      </w:r>
      <w:r>
        <w:rPr>
          <w:rFonts w:hint="default" w:ascii="Times New Roman" w:hAnsi="Times New Roman" w:eastAsia="Helvetica"/>
          <w:b/>
          <w:bCs/>
          <w:i w:val="0"/>
          <w:iCs w:val="0"/>
          <w:caps w:val="0"/>
          <w:color w:val="34343C"/>
          <w:spacing w:val="0"/>
          <w:kern w:val="0"/>
          <w:sz w:val="24"/>
          <w:szCs w:val="24"/>
          <w:u w:val="none"/>
          <w:shd w:val="clear" w:fill="FFFFFF"/>
          <w:lang w:val="en-US" w:eastAsia="zh-CN"/>
        </w:rPr>
        <w:t>.</w:t>
      </w:r>
    </w:p>
    <w:p w14:paraId="73A35B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Согласно оспоренному законоположению срочный трудовой договор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заключается с лицами, поступающими на работу в организации, созданные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на заведомо </w:t>
      </w:r>
      <w:r>
        <w:rPr>
          <w:rFonts w:hint="default" w:ascii="Times New Roman" w:hAnsi="Times New Roman"/>
          <w:sz w:val="24"/>
          <w:szCs w:val="24"/>
          <w:lang w:val="ru-RU"/>
        </w:rPr>
        <w:t>определённый</w:t>
      </w:r>
      <w:r>
        <w:rPr>
          <w:rFonts w:hint="default" w:ascii="Times New Roman" w:hAnsi="Times New Roman"/>
          <w:sz w:val="24"/>
          <w:szCs w:val="24"/>
        </w:rPr>
        <w:t xml:space="preserve"> период или для выполнения заведомо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определённой</w:t>
      </w:r>
      <w:r>
        <w:rPr>
          <w:rFonts w:hint="default" w:ascii="Times New Roman" w:hAnsi="Times New Roman"/>
          <w:sz w:val="24"/>
          <w:szCs w:val="24"/>
        </w:rPr>
        <w:t xml:space="preserve"> работы.</w:t>
      </w:r>
    </w:p>
    <w:p w14:paraId="1AF97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Конституционный Суд отметил, что указанное законоположение – как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по своему буквальному смыслу, так и во взаимосвязи с частью второй статьи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58 данного Кодекса – предполагает, что заключение срочного трудового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договора в указанном случае обусловлено объективной невозможностью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установления трудовых отношений на </w:t>
      </w:r>
      <w:r>
        <w:rPr>
          <w:rFonts w:hint="default" w:ascii="Times New Roman" w:hAnsi="Times New Roman"/>
          <w:sz w:val="24"/>
          <w:szCs w:val="24"/>
          <w:lang w:val="ru-RU"/>
        </w:rPr>
        <w:t>неопределённый</w:t>
      </w:r>
      <w:r>
        <w:rPr>
          <w:rFonts w:hint="default" w:ascii="Times New Roman" w:hAnsi="Times New Roman"/>
          <w:sz w:val="24"/>
          <w:szCs w:val="24"/>
        </w:rPr>
        <w:t xml:space="preserve"> срок в силу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временного характера деятельности организации-работодателя, который, 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свою очередь, обусловливает и заведомо ограниченный период выполнения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работы, являющейся предметом данного трудового договора.</w:t>
      </w:r>
    </w:p>
    <w:p w14:paraId="3618A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Оспоренное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регулирование, основанное на учете специфики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организации-работодателя, предопределяющей условия заключаемых 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работниками трудовых договоров в части срока их действия, согласуется 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положениями гражданского законодательства, допускающими возможность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создания юридических лиц на заведомо определенный период либо для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достижения определенной цели (пункт 2 статьи 61 ГК Российской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Федерации). При этом временный характер деятельности организации,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обусловленный самим фактом ее создания на определенный срок или для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выполнения заведомо определенной работы, по смыслу пункта 4 статьи 52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ГК Российской Федерации, должен найти отражение в уставе этой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организации, который, в числе прочего, может содержать сведения 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периоде, на который она создана, и о сроке выполнения соответствующей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работы.</w:t>
      </w:r>
    </w:p>
    <w:p w14:paraId="102C3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силу этого заключение срочного трудового договора по основанию,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предусмотренному оспоренным законоположением, возможно лишь при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условии, что деятельность организации-работодателя заведомо ограничена во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времени либо истечением конкретного срока, на который она была создана,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либо наступлением определенного события – выполнением работы, ради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которой эта организация была учреждена. Срок же действия такого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трудового договора определяется исходя из ограниченного во времени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периода существования организации-работодателя и с учетом требования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части первой статьи 58 Трудового кодекса Российской Федерации 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максимальном сроке, на который может быть заключен срочный трудовой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договор (не более пяти лет).</w:t>
      </w:r>
    </w:p>
    <w:p w14:paraId="6DB996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При этом ограниченный срок действия гражданско-правовых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договоров возмездного оказания услуг в той или иной сфере (включая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охранную деятельность), устанавливаемый при их заключении по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соглашению между организацией, оказывающей данные услуги, 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заказчиками соответствующих услуг, сам по себе не предопределяет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временного характера деятельности такой организации и не может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свидетельствовать о том, что она создана на заведомо определенный период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или для выполнения заведомо определенной работы. Это означает, что если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истечение срока действия отдельного договора возмездного оказания услуг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не предполагает прекращения организацией-исполнителем услуг своейуставной деятельности, то оспоренное законоположение не может быть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применено в качестве правового основания для заключения с работниками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данной организации срочных трудовых договоров.</w:t>
      </w:r>
    </w:p>
    <w:p w14:paraId="56EBFA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Определением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от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10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июня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2025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года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№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1525-О</w:t>
      </w:r>
    </w:p>
    <w:p w14:paraId="51131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Конституционный Суд проанализировал положения части 6 статьи 55</w:t>
      </w:r>
    </w:p>
    <w:p w14:paraId="65063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Федерального закона от 19 июля 2018 года № 197-ФЗ «О службе в</w:t>
      </w:r>
    </w:p>
    <w:p w14:paraId="12FCCE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уголовно-исполнительной системе Российской Федерации и о внесении</w:t>
      </w:r>
    </w:p>
    <w:p w14:paraId="70818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изменений в Закон Российской Федерации «Об учреждениях и органах,</w:t>
      </w:r>
    </w:p>
    <w:p w14:paraId="18BE8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исполняющих уголовные наказания в виде лишения свободы».</w:t>
      </w:r>
    </w:p>
    <w:p w14:paraId="263D0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Оспоренная норма предусматривает, что сотрудник в случае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необходимости может привлекаться к исполнению служебных обязанностей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сверх установленной нормальной продолжительности служебного времени, 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также в ночное время, выходные и нерабочие праздничные дни в порядке,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определяемом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федеральным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органом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исполнительной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власти,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осуществляющим функции по выработке и реализации государственной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политики и нормативно-правовому регулированию в сфере исполнения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уголовных наказаний; в этом случае сотруднику предоставляется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компенсация в виде отдыха соответствующей продолжительности в другие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дни недели; в случае, если предоставление такого отдыха в данный период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невозможно, время исполнения служебных обязанностей сверх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установленной нормальной продолжительности служебного времени, а также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 ночное время, выходные и нерабочие праздничные дни суммируется 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сотруднику предоставляются дополнительные дни отдыха соответствующей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продолжительности, которые по его желанию могут быть присоединены 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ежегодному оплачиваемому отпуску; по просьбе сотрудника вместо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предоставления дополнительных дней отдыха ему может быть выплачена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денежная компенсация.</w:t>
      </w:r>
    </w:p>
    <w:p w14:paraId="22AB05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Конституционный Суд отметил, что, закрепляя механизм реализации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сотрудниками уголовно-исполнительной системы права на отдых в случае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привлечения их к исполнению служебных обязанностей в выходные 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нерабочие праздничные дни, законодатель признает приоритетной формой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компенсации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предоставление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отдыха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соответствующей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продолжительности в другие дни недели. Такой подход согласуется с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конституционно значимой целью обеспечения каждому гражданину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возможности своевременного восстановления его способности к труду.</w:t>
      </w:r>
    </w:p>
    <w:p w14:paraId="42D86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Оспоренная норма, а равно иные положения законодательства,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регулирующего отношения, связанные со службой в уголовно-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исполнительной системе, не ограничивают каким-либо сроком возможность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реализации сотрудниками права на компенсацию за привлечение их 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исполнению служебных обязанностей в выходные и нерабочие праздничные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дни посредством предоставления им отдыха в другие дни недели либо дней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отдыха, которые могут быть присоединены к ежегодному оплачиваемому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отпуску. Отсутствие подобных ограничений в Федеральном законе «О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службе в уголовно-исполнительной системе Российской Федерации и 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внесении изменений в Закон Российской Федерации «Об учреждениях 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органах, исполняющих уголовные наказания в виде лишения свободы» 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подзаконных актах, регламентирующих службу в уголовно-исполнительной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системе, не должно толковаться, однако, как допускающее накопление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сотрудниками дополнительных дней отдыха за несколько лет без их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своевременного использования. Иное лишало бы компенсацию за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исполнение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служебных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обязанностей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сверх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установленной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продолжительности служебного времени ее целевого назначения, состоящего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смягчении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последствий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дополнительной физиологической 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психоэмоциональной нагрузки сотрудника, вызванной исполнением им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служебных обязанностей в выходные и нерабочие праздничные дни. Тем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самым своевременное предоставление сотруднику указанной компенсации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продиктовано не только необходимостью восстановления его способности к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выполнению своих профессиональных обязанностей, но и вытекающими из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взаимосвязанных положений статей 37 (часть 5) и 751 Конституции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Российской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Федерации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требованиями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обеспечения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реализации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>конституционного права на отдых и уважения человека труда.</w:t>
      </w:r>
    </w:p>
    <w:p w14:paraId="0D508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</w:p>
    <w:p w14:paraId="5FC2C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Определение Конституционного Суда РФ от 26 июня 2025 г. N 1736-О</w:t>
      </w:r>
    </w:p>
    <w:p w14:paraId="21413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</w:p>
    <w:p w14:paraId="4DED2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>Конституционный Суд вновь напомнил о том, что премии могут иметь различную природу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3BB063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 трудовом законодательстве премии упоминаются как один из видов стимулирующих выплат (ст. 129 ТК РФ), входящих в состав заработной платы, и как один из видов поощрений (ст. 191 ТК РФ).</w:t>
      </w:r>
    </w:p>
    <w:p w14:paraId="1CE64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Конституционный Суд РФ в очередной раз разграничил эти виды выплат работникам. Размеры, условия и периодичность выплаты премий, являющихся частью заработной платы, должны быть оговорены в коллективных договорах, соглашениях, локальных нормативных актах, устанавливающих систему оплаты труда. Учитывая природу премиальных выплат и выполняемую ими в системе оплаты труда стимулирующую функцию, всем работникам, полностью отработавшим </w:t>
      </w:r>
      <w:r>
        <w:rPr>
          <w:rFonts w:hint="default" w:ascii="Times New Roman" w:hAnsi="Times New Roman"/>
          <w:sz w:val="24"/>
          <w:szCs w:val="24"/>
          <w:lang w:val="ru-RU"/>
        </w:rPr>
        <w:t>определённый</w:t>
      </w:r>
      <w:r>
        <w:rPr>
          <w:rFonts w:hint="default" w:ascii="Times New Roman" w:hAnsi="Times New Roman"/>
          <w:sz w:val="24"/>
          <w:szCs w:val="24"/>
        </w:rPr>
        <w:t xml:space="preserve"> календарный период и достигшим одинаковых показателей, премиальные выплаты по результатам работы за данный период должны производиться на равных условиях, а размер таких выплат, начисляемых различным работникам, должен быть сопоставимым</w:t>
      </w:r>
    </w:p>
    <w:p w14:paraId="10FD1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Те же премии, которые упоминаются в ст. 191 ТК РФ, в соответствии с буквальным смыслом указанной нормы являются одним из видов поощрения, по своей правовой природе не являются составной частью заработной платы, а их выплата относится к исключительной дискреции работодателя.</w:t>
      </w:r>
    </w:p>
    <w:p w14:paraId="35AA8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Аналогичные тезисы Конституционный Суд РФ приводил и ранее (см. определения от 18.07.2017 N 1554-О, от 27.06.2017 N 1272-О, от 21.07.2022 N 2000-О, от 18.07.2024 N 1981-О, от 18.01.2024 N 3-О).</w:t>
      </w:r>
    </w:p>
    <w:p w14:paraId="68CBC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sz w:val="24"/>
          <w:szCs w:val="24"/>
        </w:rPr>
      </w:pPr>
    </w:p>
    <w:p w14:paraId="6C169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Постановлением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от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11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февраля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2025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года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№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6-П</w:t>
      </w:r>
    </w:p>
    <w:p w14:paraId="16C0F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Конституционный Суд дал оценку конституционности частей 1 и 3</w:t>
      </w:r>
    </w:p>
    <w:p w14:paraId="2F89E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 xml:space="preserve">статьи 10 Федерального закона от 28 декабря 2013 года № 400-ФЗ </w:t>
      </w:r>
    </w:p>
    <w:p w14:paraId="578CD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</w:rPr>
        <w:t>«О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24"/>
          <w:szCs w:val="24"/>
        </w:rPr>
        <w:t>страховых пенсиях».</w:t>
      </w:r>
    </w:p>
    <w:p w14:paraId="4295E3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</w:rPr>
      </w:pPr>
    </w:p>
    <w:p w14:paraId="5BD97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</w:rPr>
        <w:t>Указанные законоположения являлись предметом рассмотрения в той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мере, в какой в системе действующего правового регулирования они служат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основанием для решения вопроса о назначении страховой пенсии по случаю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потери кормильца детям, которые зачаты с использованием вспомогательных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репродуктивных технологий после смерти супруга матери, отцовство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которого было установлено решением суда, и, соответственно, родились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после его смерти.</w:t>
      </w:r>
    </w:p>
    <w:p w14:paraId="1EB31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</w:rPr>
        <w:t>Оспоренные законоположения были признаны не соответствующими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Конституции Российской Федерации в той мере, в какой ими в системе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действующего правового регулирования не предусматривается назначение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указанной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пенсии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ребенку,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зачатому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с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помощью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вспомогательных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репродуктивных технологий после смерти застрахованного в системе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обязательного пенсионного страхования супруга его матери (который при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жизни выразил намерение иметь детей с использованием вспомогательных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репродуктивных технологий и в отношении которого впоследствии в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судебном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порядке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установлен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факт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отцовства)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и,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соответственно,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рожденному по истечении трехсот дней с момента смерти отца, притом что в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системе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социального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обеспечения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(социальной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поддержки)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не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предусмотрено предоставление иных регулярных выплат такому ребенку,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сопоставимых по своему значению со страховой пенсией по случаю потери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кормильца.</w:t>
      </w:r>
    </w:p>
    <w:p w14:paraId="34561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/>
          <w:b w:val="0"/>
          <w:bCs w:val="0"/>
          <w:sz w:val="24"/>
          <w:szCs w:val="24"/>
        </w:rPr>
        <w:t>Впредь до внесения надлежащих законодательных изменений такому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</w:rPr>
        <w:t>ребенку должно быть предоставлено право на страховую пенсию по случаю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4"/>
          <w:szCs w:val="24"/>
        </w:rPr>
        <w:t>потери кормильца (при соблюдении иных установленных законом условий).</w:t>
      </w:r>
    </w:p>
    <w:p w14:paraId="6AEDFC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4615"/>
    <w:rsid w:val="01FB6FF5"/>
    <w:rsid w:val="032A2ABD"/>
    <w:rsid w:val="038B3DDC"/>
    <w:rsid w:val="08380F8C"/>
    <w:rsid w:val="11B21B50"/>
    <w:rsid w:val="16460917"/>
    <w:rsid w:val="17714B90"/>
    <w:rsid w:val="1A3D227B"/>
    <w:rsid w:val="1F064CD5"/>
    <w:rsid w:val="20D564EE"/>
    <w:rsid w:val="214C7431"/>
    <w:rsid w:val="21B90822"/>
    <w:rsid w:val="29ED0187"/>
    <w:rsid w:val="3001084F"/>
    <w:rsid w:val="31A8431A"/>
    <w:rsid w:val="31B70F51"/>
    <w:rsid w:val="37EE4006"/>
    <w:rsid w:val="3E282408"/>
    <w:rsid w:val="47E040A3"/>
    <w:rsid w:val="4A8344A4"/>
    <w:rsid w:val="50AC6723"/>
    <w:rsid w:val="514F5917"/>
    <w:rsid w:val="54E41652"/>
    <w:rsid w:val="59162CBF"/>
    <w:rsid w:val="603B6831"/>
    <w:rsid w:val="6E056682"/>
    <w:rsid w:val="6E2F772D"/>
    <w:rsid w:val="70804DAD"/>
    <w:rsid w:val="730B464C"/>
    <w:rsid w:val="7733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2025-10-06T05:17:00Z</dcterms:created>
  <dc:creator>User</dc:creator>
  <cp:lastModifiedBy>User</cp:lastModifiedBy>
  <dcterms:modified xsi:type="dcterms:W3CDTF">2025-10-06T07:52:20Z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D4182C57F27640D8A8DBBBD7CD6B2E3F_12</vt:lpwstr>
  </property>
</Properties>
</file>